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</w:pPr>
      <w:r>
        <w:rPr>
          <w:rFonts w:ascii="Times New Roman" w:hAnsi="Times New Roman" w:cs="Times New Roman"/>
          <w:sz w:val="28"/>
          <w:szCs w:val="28"/>
          <w:b/>
        </w:rPr>
        <w:t xml:space="preserve">Prohibit Advertising Near Schools and Youth Facilities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A BILL FOR AN ACT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RELATING TO MOBILE SPORTS WAGERING; PROHIBITING SPORTS WAGERING ADVERTISING</w:t>
      </w:r>
    </w:p>
    <w:p>
      <w:r>
        <w:rPr>
          <w:rFonts w:ascii="Times New Roman" w:hAnsi="Times New Roman" w:cs="Times New Roman"/>
          <w:sz w:val="24"/>
          <w:szCs w:val="24"/>
        </w:rPr>
        <w:t xml:space="preserve">WITHIN 500 FEET OF SCHOOLS AND OTHER YOUTH-SERVING LOCATIONS; PROVIDING FOR A</w:t>
      </w:r>
    </w:p>
    <w:p>
      <w:r>
        <w:rPr>
          <w:rFonts w:ascii="Times New Roman" w:hAnsi="Times New Roman" w:cs="Times New Roman"/>
          <w:sz w:val="24"/>
          <w:szCs w:val="24"/>
        </w:rPr>
        <w:t xml:space="preserve">VARIANCE, ENFORCEMENT, AND PENALTIES; AND PROVIDING AN EFFECTIVE DATE.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BE IT ENACTED BY THE LEGISLATURE OF THE STATE OF [STATE]: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1. SHORT TITLE.</w:t>
      </w:r>
    </w:p>
    <w:p>
      <w:r>
        <w:rPr>
          <w:rFonts w:ascii="Times New Roman" w:hAnsi="Times New Roman" w:cs="Times New Roman"/>
          <w:sz w:val="24"/>
          <w:szCs w:val="24"/>
        </w:rPr>
        <w:t xml:space="preserve">This Act may be cited as the "Sports Wagering Advertising School Buffer Act".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2. LEGISLATIVE FINDINGS AND PURPOSE.</w:t>
      </w:r>
    </w:p>
    <w:p>
      <w:r>
        <w:rPr>
          <w:rFonts w:ascii="Times New Roman" w:hAnsi="Times New Roman" w:cs="Times New Roman"/>
          <w:sz w:val="24"/>
          <w:szCs w:val="24"/>
        </w:rPr>
        <w:t xml:space="preserve">  (1) Findings. The Legislature finds that: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(A) persons below the legal wagering age cannot lawfully engage in sports wagering in this State;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(B) outdoor advertising near schools, playgrounds, and similar locations exposes minors to sports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    wagering promotions in places they cannot avoid, and such exposure is associated with increased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    intention to wager and the normalization of gambling among youth; and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(C) this State and many others already restrict outdoor advertising of alcoholic beverages within a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    fixed distance of schools and youth-serving locations.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(2) Purpose. The purpose of this Act is to reduce minors' exposure to sports wagering advertising by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prohibiting such advertising within a fixed distance of schools and other youth-serving locations,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consistent with established distance-based restrictions on the advertising of other age-restricted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products.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3. DEFINITIONS.</w:t>
      </w:r>
    </w:p>
    <w:p>
      <w:r>
        <w:rPr>
          <w:rFonts w:ascii="Times New Roman" w:hAnsi="Times New Roman" w:cs="Times New Roman"/>
          <w:sz w:val="24"/>
          <w:szCs w:val="24"/>
        </w:rPr>
        <w:t xml:space="preserve">In this Act:</w:t>
      </w:r>
    </w:p>
    <w:p>
      <w:r>
        <w:rPr>
          <w:rFonts w:ascii="Times New Roman" w:hAnsi="Times New Roman" w:cs="Times New Roman"/>
          <w:sz w:val="24"/>
          <w:szCs w:val="24"/>
        </w:rPr>
        <w:t xml:space="preserve">  (1) "Commission" means the [STATE GAMING COMMISSION] or successor agency.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(2) "Operator" means a person licensed or otherwise authorized under [STATE LAW] to conduct mobile sports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wagering in this State.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(3) "Sports wagering advertising" means any communication, regardless of medium, that: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(A) promotes sports wagering;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(B) promotes an Operator, sportsbook brand, or sports wagering application; or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  (C) offers an inducement or bonus related to sports wagering.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(4) "Outdoor advertising" means a sign, billboard, poster, placard, mural, display, or other fixed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advertising that is visible from a public right-of-way, and includes a digital or electronic display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such as a digital billboard or a transit display.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(5) "School" means any public, private, or parochial nursery school, preschool, kindergarten, elementary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school, middle school, or secondary school, and includes the grounds of such a school.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(6) "Youth-serving location" means a School, a public or private playground, a child day-care facility, a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public park or recreational facility primarily used by minors, a public library, or a youth center.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(7) "Covered distance" means 500 linear feet, measured along the shortest straight-line distance from the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nearest point of the Sports wagering advertising to the nearest boundary of the property on which the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Youth-serving location is situated.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4. PROHIBITION ON ADVERTISING NEAR YOUTH-SERVING LOCATIONS.</w:t>
      </w:r>
    </w:p>
    <w:p>
      <w:r>
        <w:rPr>
          <w:rFonts w:ascii="Times New Roman" w:hAnsi="Times New Roman" w:cs="Times New Roman"/>
          <w:sz w:val="24"/>
          <w:szCs w:val="24"/>
        </w:rPr>
        <w:t xml:space="preserve">  (a) Prohibition. An Operator shall not place, purchase, or cause to be placed any Sports wagering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advertising on Outdoor advertising located within the Covered distance of a Youth-serving location.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(b) Existing placements. Within [180] days after the effective date of this Act, an Operator shall remove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or cause to be removed any Sports wagering advertising that does not comply with subsection (a).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(c) Sponsorship and naming rights. An Operator shall not purchase naming rights or sponsorship placements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for a Youth-serving location, or for an event held at such a location, that include Sports wagering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advertising.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(d) No circumvention. An Operator shall not use an agent, affiliate, or other person to place Sports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wagering advertising that the Operator could not place directly under this Section.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[SECTION 5. OPTIONAL: GEOTARGETED DIGITAL ADVERTISING.</w:t>
      </w:r>
    </w:p>
    <w:p>
      <w:r>
        <w:rPr>
          <w:rFonts w:ascii="Times New Roman" w:hAnsi="Times New Roman" w:cs="Times New Roman"/>
          <w:sz w:val="24"/>
          <w:szCs w:val="24"/>
        </w:rPr>
        <w:t xml:space="preserve">  (a) Prohibition. An Operator shall not purchase, place, or cause to be delivered Sports wagering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advertising that is geographically targeted, in whole or in part, to reach devices located within the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Covered distance of a Youth-serving location.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(b) Targeting, not incidental delivery. This Section restricts an Operator's geographic targeting of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advertising. It does not impose liability for an individual impression delivered to a device that enters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the Covered distance when the Operator did not target that area.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(c) Records. On request of the Commission, an Operator shall provide the geographic targeting parameters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used for its Sports wagering advertising.]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[SECTION 6. OPTIONAL: VARIANCE.</w:t>
      </w:r>
    </w:p>
    <w:p>
      <w:r>
        <w:rPr>
          <w:rFonts w:ascii="Times New Roman" w:hAnsi="Times New Roman" w:cs="Times New Roman"/>
          <w:sz w:val="24"/>
          <w:szCs w:val="24"/>
        </w:rPr>
        <w:t xml:space="preserve">  (a) The Commission may, on written application, permit Sports wagering advertising otherwise prohibited by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Section 4 if the Commission finds that the placement will not unduly expose minors to the advertising,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taking into account sight lines, screening, the orientation of the advertising, and the typical presence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of minors at the Youth-serving location.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(b) A variance shall be in writing, shall state its duration, and may be revoked if conditions change.]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7. ENFORCEMENT; PENALTIES; RULEMAKING.</w:t>
      </w:r>
    </w:p>
    <w:p>
      <w:r>
        <w:rPr>
          <w:rFonts w:ascii="Times New Roman" w:hAnsi="Times New Roman" w:cs="Times New Roman"/>
          <w:sz w:val="24"/>
          <w:szCs w:val="24"/>
        </w:rPr>
        <w:t xml:space="preserve">  (a) License condition. Compliance with this Act is a condition of licensure.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(b) Civil penalties. The Commission may impose a civil penalty of up to [$25,000] per violation. Each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prohibited placement, and each day a prohibited placement remains in place after the period in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Section 4(b), constitutes a separate violation.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  (c) Rulemaking. The Commission shall adopt rules to implement this Act, including the method of measuring</w:t>
      </w:r>
    </w:p>
    <w:p>
      <w:r>
        <w:rPr>
          <w:rFonts w:ascii="Times New Roman" w:hAnsi="Times New Roman" w:cs="Times New Roman"/>
          <w:sz w:val="24"/>
          <w:szCs w:val="24"/>
        </w:rPr>
        <w:t xml:space="preserve">      the Covered distance and procedures for any variance.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8. SEVERABILITY.</w:t>
      </w:r>
    </w:p>
    <w:p>
      <w:r>
        <w:rPr>
          <w:rFonts w:ascii="Times New Roman" w:hAnsi="Times New Roman" w:cs="Times New Roman"/>
          <w:sz w:val="24"/>
          <w:szCs w:val="24"/>
        </w:rPr>
        <w:t xml:space="preserve">If any provision of this Act or its application is held invalid, the invalidity does not affect other</w:t>
      </w:r>
    </w:p>
    <w:p>
      <w:r>
        <w:rPr>
          <w:rFonts w:ascii="Times New Roman" w:hAnsi="Times New Roman" w:cs="Times New Roman"/>
          <w:sz w:val="24"/>
          <w:szCs w:val="24"/>
        </w:rPr>
        <w:t xml:space="preserve">provisions or applications of this Act that can be given effect without the invalid provision or application.</w:t>
      </w:r>
    </w:p>
    <w:p>
      <w:r>
        <w:rPr>
          <w:rFonts w:ascii="Times New Roman" w:hAnsi="Times New Roman" w:cs="Times New Roman"/>
          <w:sz w:val="24"/>
          <w:szCs w:val="24"/>
        </w:rPr>
        <w:t xml:space="preserve"/>
      </w:r>
    </w:p>
    <w:p>
      <w:r>
        <w:rPr>
          <w:rFonts w:ascii="Times New Roman" w:hAnsi="Times New Roman" w:cs="Times New Roman"/>
          <w:sz w:val="24"/>
          <w:szCs w:val="24"/>
        </w:rPr>
        <w:t xml:space="preserve">SECTION 9. EFFECTIVE DATE.</w:t>
      </w:r>
    </w:p>
    <w:p>
      <w:r>
        <w:rPr>
          <w:rFonts w:ascii="Times New Roman" w:hAnsi="Times New Roman" w:cs="Times New Roman"/>
          <w:sz w:val="24"/>
          <w:szCs w:val="24"/>
        </w:rPr>
        <w:t xml:space="preserve">This Act takes effect on [DATE].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</w:rPr>
    </w:rPrDefault>
  </w:docDefaults>
  <w:style w:type="paragraph" w:default="1" w:styleId="Normal">
    <w:name w:val="Normal"/>
    <w:qFormat/>
    <w:rPr>
      <w:rFonts w:ascii="Times New Roman" w:hAnsi="Times New Roman" w:cs="Times New Roman"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CASPR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 Advertising Near Schools and Youth Facilities</dc:title>
  <dc:creator>CASPR</dc:creator>
  <cp:lastModifiedBy>CASPR</cp:lastModifiedBy>
  <dcterms:created xsi:type="dcterms:W3CDTF">2000-01-01T00:00:00Z</dcterms:created>
  <dcterms:modified xsi:type="dcterms:W3CDTF">2000-01-01T00:00:00Z</dcterms:modified>
  <cp:revision>1</cp:revision>
  <dc:identifier>fd22fd69-751f-5c14-bf43-70d334c782ef</dc:identifier>
</cp:coreProperties>
</file>