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</w:pPr>
      <w:r>
        <w:rPr>
          <w:rFonts w:ascii="Times New Roman" w:hAnsi="Times New Roman" w:cs="Times New Roman"/>
          <w:sz w:val="28"/>
          <w:szCs w:val="28"/>
          <w:b/>
        </w:rPr>
        <w:t xml:space="preserve">Advertising Restrictions + Required Warnings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A BILL FOR AN ACT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RELATING TO MOBILE SPORTS WAGERING; RESTRICTING SPORTS WAGERING ADVERTISING IN</w:t>
      </w:r>
    </w:p>
    <w:p>
      <w:r>
        <w:rPr>
          <w:rFonts w:ascii="Times New Roman" w:hAnsi="Times New Roman" w:cs="Times New Roman"/>
          <w:sz w:val="24"/>
          <w:szCs w:val="24"/>
        </w:rPr>
        <w:t xml:space="preserve">PUBLIC PLACES; REQUIRING CLEAR HEALTH AND FINANCIAL HARM WARNINGS ON PERMITTED</w:t>
      </w:r>
    </w:p>
    <w:p>
      <w:r>
        <w:rPr>
          <w:rFonts w:ascii="Times New Roman" w:hAnsi="Times New Roman" w:cs="Times New Roman"/>
          <w:sz w:val="24"/>
          <w:szCs w:val="24"/>
        </w:rPr>
        <w:t xml:space="preserve">ADVERTISING; [OPTIONALLY] RESTRICTING ADVERTISING DURING LIVE SPORTS; PROVIDING</w:t>
      </w:r>
    </w:p>
    <w:p>
      <w:r>
        <w:rPr>
          <w:rFonts w:ascii="Times New Roman" w:hAnsi="Times New Roman" w:cs="Times New Roman"/>
          <w:sz w:val="24"/>
          <w:szCs w:val="24"/>
        </w:rPr>
        <w:t xml:space="preserve">FOR ENFORCEMENT AND PENALTIES; AND PROVIDING AN EFFECTIVE DATE.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BE IT ENACTED BY THE LEGISLATURE OF THE STATE OF [STATE]: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1. SHORT TITLE.</w:t>
      </w:r>
    </w:p>
    <w:p>
      <w:r>
        <w:rPr>
          <w:rFonts w:ascii="Times New Roman" w:hAnsi="Times New Roman" w:cs="Times New Roman"/>
          <w:sz w:val="24"/>
          <w:szCs w:val="24"/>
        </w:rPr>
        <w:t xml:space="preserve">This Act may be cited as the "Sports Wagering Advertising Restrictions and Warnings Act".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2. DEFINITIONS.</w:t>
      </w:r>
    </w:p>
    <w:p>
      <w:r>
        <w:rPr>
          <w:rFonts w:ascii="Times New Roman" w:hAnsi="Times New Roman" w:cs="Times New Roman"/>
          <w:sz w:val="24"/>
          <w:szCs w:val="24"/>
        </w:rPr>
        <w:t xml:space="preserve">In this Act: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(1) "Commission" means the [STATE GAMING COMMISSION] or successor agency.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(2) "Operator" means a person licensed or otherwise authorized under [STATE LAW] to conduct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mobile sports wagering in this State.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(3) "Sports wagering advertising" means any communication, regardless of medium, that: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(A) promotes sports wagering;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(B) promotes an Operator, sportsbook brand, or sports wagering application; or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(C) offers an inducement or bonus related to sports wagering.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(4) "Public place" means an area generally open to the public or visible from a public right-of-way,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including streets, sidewalks, public transit, parks, publicly owned buildings, and the exterior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of private property that is visible from a public right-of-way.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(5) "Outdoor advertising" means a sign, billboard, poster, display, or other fixed advertising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visible from a public right-of-way.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3. RESTRICTIONS ON PUBLIC-PLACE ADVERTISING.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Prohibition. An Operator shall not place, purchase, or cause to be placed Sports wagering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advertising in any Public place in this State, including Outdoor advertising.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Sponsorship and naming rights. An Operator shall not purchase naming rights or sponsorship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placements for publicly owned facilities, public transit, or public schools that include Sports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wagering advertising.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(c) Digital out-of-home. Sports wagering advertising is prohibited on digital displays located in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a Public place, including digital billboards and transit displays.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4. REQUIRED WARNINGS ON PERMITTED ADVERTISING.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Warning required. Any Sports wagering advertising permitted under this Act or other State law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shall include a clear warning statement, including: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(1) that sports wagering can be addictive;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(2) that sports wagering can cause severe financial harms, including bankruptcy;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(3) the State problem-gambling helpline;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(4) the minimum legal age for wagering in this State.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Minimum standards. The Commission shall, by rule, require that warnings be: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(1) prominent and legible;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(2) presented in plain language;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(3) displayed for sufficient duration in audio/visual formats;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(4) included on the landing page of any online advertisement that links to wagering.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(c) Prohibited content. The Commission shall, by rule, prohibit Sports wagering advertising that: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(1) depicts wagering as a solution to financial problems or a path to wealth;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(2) is targeted to minors or likely to appeal to minors; or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(3) is otherwise misleading.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[SECTION 5. OPTIONAL: RESTRICTIONS ON ADVERTISING DURING LIVE SPORTS.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Prohibition. An Operator shall not purchase, place, or sponsor Sports wagering advertising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during live sports broadcasts or live sports streaming content that is distributed to persons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located in this State.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Rulemaking. The Commission may adopt rules defining "live sports broadcasts" and setting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compliance standards consistent with this section.]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6. ENFORCEMENT; PENALTIES; RULEMAKING.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License condition. Compliance with this Act is a condition of licensure.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Civil penalties. The Commission may impose a civil penalty of up to [$25,000] per violation.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Each placement of prohibited Sports wagering advertising constitutes a separate violation.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(c) Rulemaking. The Commission shall adopt rules to implement this Act.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7. SEVERABILITY.</w:t>
      </w:r>
    </w:p>
    <w:p>
      <w:r>
        <w:rPr>
          <w:rFonts w:ascii="Times New Roman" w:hAnsi="Times New Roman" w:cs="Times New Roman"/>
          <w:sz w:val="24"/>
          <w:szCs w:val="24"/>
        </w:rPr>
        <w:t xml:space="preserve">If any provision of this Act or its application is held invalid, the invalidity does not affect</w:t>
      </w:r>
    </w:p>
    <w:p>
      <w:r>
        <w:rPr>
          <w:rFonts w:ascii="Times New Roman" w:hAnsi="Times New Roman" w:cs="Times New Roman"/>
          <w:sz w:val="24"/>
          <w:szCs w:val="24"/>
        </w:rPr>
        <w:t xml:space="preserve">other provisions or applications of this Act that can be given effect without the invalid</w:t>
      </w:r>
    </w:p>
    <w:p>
      <w:r>
        <w:rPr>
          <w:rFonts w:ascii="Times New Roman" w:hAnsi="Times New Roman" w:cs="Times New Roman"/>
          <w:sz w:val="24"/>
          <w:szCs w:val="24"/>
        </w:rPr>
        <w:t xml:space="preserve">provision or application.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8. EFFECTIVE DATE.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>This Act takes effect on [DATE].</w:t>
      </w:r>
    </w:p>
    <w:sectPr>
      <w:pgSz w:w="12240" w:h="15840"/>
      <w:pgMar w:top="1440" w:right="1440" w:bottom="1440" w:left="1440" w:header="720" w:footer="720" w:gutter="0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  <w:style w:type="paragraph" w:default="1" w:styleId="Normal">
    <w:name w:val="Normal"/>
    <w:qFormat/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CASPR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Advertising Restrictions + Required Warnings</dc:title>
  <dc:creator>CASPR</dc:creator>
  <cp:lastModifiedBy>CASPR</cp:lastModifiedBy>
  <dcterms:created xsi:type="dcterms:W3CDTF">2000-01-01T00:00:00Z</dcterms:created>
  <dcterms:modified xsi:type="dcterms:W3CDTF">2000-01-01T00:00:00Z</dcterms:modified>
  <cp:revision>1</cp:revision>
  <dc:identifier>af0ee213-2a9b-53ea-bc5e-06d10628db26</dc:identifier>
</cp:coreProperties>
</file>