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Duty to Intervene for Problem Gambling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ESTABLISHING A DUTY TO INTERVENE WHEN</w:t>
      </w:r>
    </w:p>
    <w:p>
      <w:r>
        <w:rPr>
          <w:rFonts w:ascii="Times New Roman" w:hAnsi="Times New Roman" w:cs="Times New Roman"/>
          <w:sz w:val="24"/>
          <w:szCs w:val="24"/>
        </w:rPr>
        <w:t xml:space="preserve">PATRONS EXHIBIT QUANTIFIABLE INDICATORS OF PROBLEM GAMBLING; REQUIRING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OPERATORS TO MONITOR FOR HIGH-RISK INDICATORS AND TO SUSPEND SERVICE;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PROHIBITING MARKETING TO HIGH-RISK PATRONS; PROVIDING FOR ENFORCEMENT,</w:t>
      </w:r>
    </w:p>
    <w:p>
      <w:r>
        <w:rPr>
          <w:rFonts w:ascii="Times New Roman" w:hAnsi="Times New Roman" w:cs="Times New Roman"/>
          <w:sz w:val="24"/>
          <w:szCs w:val="24"/>
        </w:rPr>
        <w:t xml:space="preserve">PENALTIES, AND RULEMAKING; AND 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Wagering Duty to Intervene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conduct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"Patron" means an individual who opens or maintains an account with an Operator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for mobile sports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"High-Risk Gambling Indicators" means objective, quantifiable behavioral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financial indicators established by the Commission by rule that, when met, indicate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 materially elevated risk of gambling-related harm, including financial distress.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"High-Risk Patron" means a Patron who meets one or more High-Risk Gambling Indicators.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(6) "Hard Stop" means a mandatory suspension of a Patron's ability to place wagers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make deposits with an Operator for a specified period, while permitting withdrawals.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COMMISSION RULES: HIGH-RISK GAMBLING INDICATORS.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Rulemaking required. The Commission shall, by rule, establish High-Risk Gambling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Indicators applicable to mobile sports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Minimum content. High-Risk Gambling Indicators shall be: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objective and measurable from Operator data and, where appropriate, payment data;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designed to detect patterns such as rapid escalation in deposits or wager size,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repeated deposits after losses ("chasing"), repeated failed deposit attempts,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other patterns the Commission determines are evidence-based predictors of harm;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auditable, with clear thresholds and time windows.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Public transparency. The Commission shall publish the Indicators and update them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periodically based on evidence, enforcement experience, and stakeholder input.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OPERATOR DUTY TO MONITOR AND INTERVENE.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Monitoring program. Each Operator shall implement a monitoring program sufficient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identify High-Risk Patrons using the High-Risk Gambling Indicators.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Mandatory Hard Stop. When an Operator identifies a High-Risk Patron, the Operator shall: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promptly impose a Hard Stop for not less than [90] days;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block the Patron from placing wagers and making deposits during the Hard Stop;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permit withdrawals of remaining funds, subject to anti-fraud and anti-money-laundering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controls;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display and deliver a notice that includes: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  (A) that the Operator is required by law to pause wagering due to indicators of harm;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  (B) the Hard Stop end date and steps for reinstatement;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  (C) problem-gambling resources and the State problem-gambling helpline;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  (D) information about the Patron's right to request review for error.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Prohibition on circumvention. An Operator shall not: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route a High-Risk Patron to another brand, skin, or platform under common control;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recommend alternative wagering channels to avoid the Hard Stop.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PROHIBITION ON MARKETING AND INDUCEMENTS TO HIGH-RISK PATRONS.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Marketing prohibition. An Operator shall not send a High-Risk Patron marketing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communications that promote sports wagering during: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any Hard Stop period;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the [90] days following the end of a Hard Stop (a "cool-down"), unless the Patron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affirmatively opts in after receiving a standardized warning disclosure prescribed by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the Commission by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Inducements prohibited. An Operator shall not offer any bonus, "free bet", deposit match,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enhanced odds, cashback, loyalty reward, referral reward, or similar inducement to a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High-Risk Patron at any time.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RECORDKEEPING; REPORTING; AUDITS.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Records. An Operator shall maintain records sufficient to demonstrate compliance with this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Act, including: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the Indicators met;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the time of identification;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actions taken and their timing;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notices provided to the Patron.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Reporting. The Commission shall require periodic reporting by Operators on: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counts of High-Risk Patrons identified;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hard stops imposed and durations;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enforcement actions taken by Operators.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Audits. The Commission may audit Operators for compliance and may require independent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audits of monitoring systems.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PRIVACY AND FAIRNESS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Use limitation. Data used for High-Risk determination shall not be used for marketing,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credit decisions, or sale to third parties.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Nondiscrimination. The Commission shall design and periodically review Indicators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reduce unjustified disparate impacts. This subsection does not limit the Commission's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authority to focus protections on groups at higher statistical risk where supported by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evidence and lawful.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 violation of this Act or a rule adopted under this Act constitutes grounds for license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discipline.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The Commission may impose a civil penalty of up to [$25,000] per violation. Each wager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accepted from a High-Risk Patron after the Operator has identified the Patron as high-risk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The Commission shall adopt rules to implement this Act, including rules governing: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standardized consumer notices and disclosures;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review/appeal procedures for error correction;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minimum technical standards for monitoring systems.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9.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10.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to Intervene for Problem Gambling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05ff5d19-fae6-5c08-86fb-aa9c4a8eefe4</dc:identifier>
</cp:coreProperties>
</file>