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Economic Impact and Inflow/Outflow Reporting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MOBILE SPORTS WAGERING; REQUIRING ANNUAL AND PERIODIC INDEPENDENT</w:t>
      </w:r>
    </w:p>
    <w:p>
      <w:r>
        <w:rPr>
          <w:rFonts w:ascii="Times New Roman" w:hAnsi="Times New Roman" w:cs="Times New Roman"/>
          <w:sz w:val="24"/>
          <w:szCs w:val="24"/>
        </w:rPr>
        <w:t xml:space="preserve">ECONOMIC IMPACT ANALYSES OF SPORTS WAGERING, INCLUDING INFLOW/OUTFLOW MONEY</w:t>
      </w:r>
    </w:p>
    <w:p>
      <w:r>
        <w:rPr>
          <w:rFonts w:ascii="Times New Roman" w:hAnsi="Times New Roman" w:cs="Times New Roman"/>
          <w:sz w:val="24"/>
          <w:szCs w:val="24"/>
        </w:rPr>
        <w:t xml:space="preserve">FLOWS; REQUIRING OPERATOR REPORTING; PROVIDING FOR PUBLIC REPORTING,</w:t>
      </w:r>
    </w:p>
    <w:p>
      <w:r>
        <w:rPr>
          <w:rFonts w:ascii="Times New Roman" w:hAnsi="Times New Roman" w:cs="Times New Roman"/>
          <w:sz w:val="24"/>
          <w:szCs w:val="24"/>
        </w:rPr>
        <w:t xml:space="preserve">CONFIDENTIALITY, AND FUNDING; AND PROVIDING 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"Sports Wagering Economic Transparency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"Operator" means a person licensed or otherwise authorized under [STATE LAW] to conduct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mobile sports wagering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"Economic impact report" means the report required under Section 3.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"Inflow/outflow" means the movement of money into and out of this State attributable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sports wagering operations, including: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(A) patron deposits originating in this State;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(B) taxes and fees paid to this State;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(C) payments to vendors, affiliates, and service providers (with in-state vs out-of-state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location of the payee);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(D) net profits distributed to out-of-state parents or owners;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(E) other categories specified by Commission rule.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REQUIRED REPORTS.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Annual economic impact report. Not later than [September 1] of each year, the Commission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shall publish an Economic impact report covering the prior fiscal year.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Independent comprehensive study. Not less frequently than once every [2] years,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Commission shall contract with an independent research entity (public university or other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qualified independent organization) to prepare a comprehensive analysis of sports wagering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impacts in this State. The Commission shall select an entity that is independent of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sports wagering industry and that agrees not to accept industry funding for the study.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MINIMUM CONTENT.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The Economic impact report and independent study shall include, at minimum, to the extent</w:t>
      </w:r>
    </w:p>
    <w:p>
      <w:r>
        <w:rPr>
          <w:rFonts w:ascii="Times New Roman" w:hAnsi="Times New Roman" w:cs="Times New Roman"/>
          <w:sz w:val="24"/>
          <w:szCs w:val="24"/>
        </w:rPr>
        <w:t xml:space="preserve">practicable and using appropriate methods: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Sports wagering activity and fiscal data: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(A) total handle, gross gaming revenue, and net revenue by Operator;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(B) taxes, fees, and assessments paid to the State;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(C) marketing and advertising spending by Operator in this State;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(D) counts of active accounts and aggregate wagering volume.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Inflow/outflow transparency: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(A) aggregated, categorized out-of-state payments by Operators (vendors, affiliates,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technology providers, payments to parent entities);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(B) aggregated, categorized in-state payments by Operators;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(C) methodology describing how payee location is determined.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Social and economic indicators (aggregate, non-identifying):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(A) gambling hotline call volumes and other help-seeking indicators;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(B) bankruptcy filings and other financial distress indicators, using publicly available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data and any lawful data-sharing agreements;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(C) other indicators the Commission determines are useful and feasible.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Limitations and methodology: a plain-language description of methods, limitations,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and potential confounders.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OPERATOR REPORTING.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Required submissions. Each Operator shall submit data necessary for the Commission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prepare the reports required by this Act, including: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aggregated financial reporting described in Section 4(1);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aggregated marketing and advertising spend in this State;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aggregated payee location and category data sufficient to produce the Inflow/outflow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reporting in Section 4(2), in the form prescribed by Commission rule.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Confidentiality. The Commission shall protect trade secrets and confidential commercial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information consistent with [STATE PUBLIC RECORDS LAW], but shall publish aggregated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results sufficient to enable public oversight.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No patron-level disclosure. Nothing in this Act authorizes collection or publication of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patron-level personally identifiable information for reporting purposes.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FUNDING.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Assessment. The Commission shall assess each Operator an annual fee sufficient to cover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the reasonable costs of implementing this Act, including independent studies.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Dedicated account. Fees collected under this section shall be deposited into a dedicated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account to be used only for purposes of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ENFORCEMENT; PENALTIES; RULEMAKING.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An Operator's failure to submit required information constitutes grounds for license discipline.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The Commission may impose a civil penalty of up to [$25,000] per day for failure to submit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required reports or for materially false reporting.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The Commission shall adopt rules to implement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8.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9.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Impact and Inflow/Outflow Reporting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bc950dba-9a29-5803-9cf9-c478f817ed06</dc:identifier>
</cp:coreProperties>
</file>